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AC9" w:rsidRPr="00A65AC9" w:rsidRDefault="00A65AC9" w:rsidP="00A65A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A65AC9">
        <w:rPr>
          <w:rFonts w:ascii="Arial" w:eastAsia="Times New Roman" w:hAnsi="Arial" w:cs="Arial"/>
          <w:noProof/>
          <w:color w:val="0000FF"/>
          <w:sz w:val="15"/>
          <w:szCs w:val="15"/>
          <w:lang w:eastAsia="fr-FR"/>
        </w:rPr>
        <w:drawing>
          <wp:inline distT="0" distB="0" distL="0" distR="0">
            <wp:extent cx="2031365" cy="734695"/>
            <wp:effectExtent l="0" t="0" r="635" b="1905"/>
            <wp:docPr id="3" name="Image 3" descr="CHU Toulouse">
              <a:hlinkClick xmlns:a="http://schemas.openxmlformats.org/drawingml/2006/main" r:id="rId5" tooltip="&quot;CHU Toulouse - revenir à la page d'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 Toulouse">
                      <a:hlinkClick r:id="rId5" tooltip="&quot;CHU Toulouse - revenir à la page d'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AC9">
        <w:rPr>
          <w:b/>
          <w:noProof/>
          <w:sz w:val="28"/>
          <w:szCs w:val="28"/>
        </w:rPr>
        <w:drawing>
          <wp:inline distT="0" distB="0" distL="0" distR="0" wp14:anchorId="42EFC1A2" wp14:editId="02E432E8">
            <wp:extent cx="2513658" cy="734841"/>
            <wp:effectExtent l="0" t="0" r="1270" b="1905"/>
            <wp:docPr id="28" name="Picture 17" descr="http://www.univ-tlse3.fr/jsp_ups/images/logo_ups_pres.png">
              <a:extLst xmlns:a="http://schemas.openxmlformats.org/drawingml/2006/main">
                <a:ext uri="{FF2B5EF4-FFF2-40B4-BE49-F238E27FC236}">
                  <a16:creationId xmlns:a16="http://schemas.microsoft.com/office/drawing/2014/main" id="{33B5DD0A-8E47-194E-BD2D-25F4D8AFF7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7" descr="http://www.univ-tlse3.fr/jsp_ups/images/logo_ups_pres.png">
                      <a:extLst>
                        <a:ext uri="{FF2B5EF4-FFF2-40B4-BE49-F238E27FC236}">
                          <a16:creationId xmlns:a16="http://schemas.microsoft.com/office/drawing/2014/main" id="{33B5DD0A-8E47-194E-BD2D-25F4D8AFF78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27" cy="7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AC" w:rsidRDefault="007111AC" w:rsidP="007111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1A6A94" w:rsidRDefault="004D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 </w:t>
      </w:r>
      <w:r w:rsidR="001A6A94">
        <w:rPr>
          <w:b/>
          <w:sz w:val="28"/>
          <w:szCs w:val="28"/>
        </w:rPr>
        <w:t>d’Assistant Hospitalo-Universitaire (</w:t>
      </w:r>
      <w:r>
        <w:rPr>
          <w:b/>
          <w:sz w:val="28"/>
          <w:szCs w:val="28"/>
        </w:rPr>
        <w:t>AHU</w:t>
      </w:r>
      <w:r w:rsidR="001A6A94">
        <w:rPr>
          <w:b/>
          <w:sz w:val="28"/>
          <w:szCs w:val="28"/>
        </w:rPr>
        <w:t>)</w:t>
      </w:r>
    </w:p>
    <w:p w:rsidR="00203B29" w:rsidRPr="001A6A94" w:rsidRDefault="001A6A94">
      <w:pPr>
        <w:jc w:val="center"/>
        <w:rPr>
          <w:sz w:val="28"/>
          <w:szCs w:val="28"/>
        </w:rPr>
      </w:pPr>
      <w:r w:rsidRPr="001A6A94">
        <w:rPr>
          <w:sz w:val="28"/>
          <w:szCs w:val="28"/>
        </w:rPr>
        <w:t>à pourvoir</w:t>
      </w:r>
      <w:r w:rsidR="004D3D9D" w:rsidRPr="001A6A94">
        <w:rPr>
          <w:sz w:val="28"/>
          <w:szCs w:val="28"/>
        </w:rPr>
        <w:t xml:space="preserve"> dans le Service de </w:t>
      </w:r>
      <w:r>
        <w:rPr>
          <w:sz w:val="28"/>
          <w:szCs w:val="28"/>
        </w:rPr>
        <w:t>Biochimi</w:t>
      </w:r>
      <w:r w:rsidR="004D3D9D" w:rsidRPr="001A6A94">
        <w:rPr>
          <w:sz w:val="28"/>
          <w:szCs w:val="28"/>
        </w:rPr>
        <w:t>e</w:t>
      </w:r>
    </w:p>
    <w:p w:rsidR="00203B29" w:rsidRPr="001A6A94" w:rsidRDefault="004D3D9D">
      <w:pPr>
        <w:jc w:val="center"/>
        <w:rPr>
          <w:sz w:val="28"/>
          <w:szCs w:val="28"/>
        </w:rPr>
      </w:pPr>
      <w:r w:rsidRPr="001A6A94">
        <w:rPr>
          <w:sz w:val="28"/>
          <w:szCs w:val="28"/>
        </w:rPr>
        <w:t xml:space="preserve">CHU </w:t>
      </w:r>
      <w:r w:rsidR="001A6A94">
        <w:rPr>
          <w:sz w:val="28"/>
          <w:szCs w:val="28"/>
        </w:rPr>
        <w:t>de Toulouse</w:t>
      </w:r>
    </w:p>
    <w:p w:rsidR="00F52269" w:rsidRDefault="004D3D9D" w:rsidP="00A65AC9">
      <w:pPr>
        <w:jc w:val="center"/>
        <w:rPr>
          <w:b/>
          <w:i/>
          <w:sz w:val="28"/>
          <w:szCs w:val="28"/>
        </w:rPr>
      </w:pPr>
      <w:r w:rsidRPr="007111AC">
        <w:rPr>
          <w:i/>
          <w:sz w:val="28"/>
          <w:szCs w:val="28"/>
        </w:rPr>
        <w:t>Disponible au 1</w:t>
      </w:r>
      <w:r w:rsidRPr="007111AC">
        <w:rPr>
          <w:i/>
          <w:sz w:val="28"/>
          <w:szCs w:val="28"/>
          <w:vertAlign w:val="superscript"/>
        </w:rPr>
        <w:t>er</w:t>
      </w:r>
      <w:r w:rsidRPr="007111AC">
        <w:rPr>
          <w:i/>
          <w:sz w:val="28"/>
          <w:szCs w:val="28"/>
        </w:rPr>
        <w:t xml:space="preserve"> </w:t>
      </w:r>
      <w:r w:rsidR="00E50336">
        <w:rPr>
          <w:i/>
          <w:sz w:val="28"/>
          <w:szCs w:val="28"/>
        </w:rPr>
        <w:t>n</w:t>
      </w:r>
      <w:r w:rsidRPr="007111AC">
        <w:rPr>
          <w:i/>
          <w:sz w:val="28"/>
          <w:szCs w:val="28"/>
        </w:rPr>
        <w:t>ovembre 20</w:t>
      </w:r>
      <w:r w:rsidR="001A6A94" w:rsidRPr="007111AC">
        <w:rPr>
          <w:i/>
          <w:sz w:val="28"/>
          <w:szCs w:val="28"/>
        </w:rPr>
        <w:t>2</w:t>
      </w:r>
      <w:r w:rsidR="005A6D78">
        <w:rPr>
          <w:i/>
          <w:sz w:val="28"/>
          <w:szCs w:val="28"/>
        </w:rPr>
        <w:t>4</w:t>
      </w:r>
    </w:p>
    <w:p w:rsidR="00A65AC9" w:rsidRPr="00A65AC9" w:rsidRDefault="00A65AC9" w:rsidP="00A65AC9">
      <w:pPr>
        <w:jc w:val="center"/>
        <w:rPr>
          <w:b/>
          <w:i/>
          <w:sz w:val="28"/>
          <w:szCs w:val="28"/>
        </w:rPr>
      </w:pPr>
    </w:p>
    <w:p w:rsidR="001A6A94" w:rsidRPr="00F52269" w:rsidRDefault="001A6A94" w:rsidP="001A6A94">
      <w:pPr>
        <w:rPr>
          <w:b/>
        </w:rPr>
      </w:pPr>
      <w:r w:rsidRPr="00F52269">
        <w:rPr>
          <w:b/>
        </w:rPr>
        <w:t xml:space="preserve">Poste d’AHU en Biochimie et Biologie moléculaire, </w:t>
      </w:r>
      <w:r w:rsidR="00A749DF">
        <w:rPr>
          <w:b/>
        </w:rPr>
        <w:t>Pôle de Biologie</w:t>
      </w:r>
      <w:r w:rsidR="00F52269" w:rsidRPr="00F52269">
        <w:rPr>
          <w:b/>
        </w:rPr>
        <w:t xml:space="preserve">, </w:t>
      </w:r>
      <w:r w:rsidRPr="00F52269">
        <w:rPr>
          <w:b/>
        </w:rPr>
        <w:t>CHU Toulouse</w:t>
      </w:r>
    </w:p>
    <w:p w:rsidR="001A6A94" w:rsidRPr="00592872" w:rsidRDefault="001A6A94" w:rsidP="001A6A94">
      <w:pPr>
        <w:rPr>
          <w:b/>
          <w:i/>
        </w:rPr>
      </w:pPr>
      <w:r w:rsidRPr="00592872">
        <w:rPr>
          <w:b/>
          <w:i/>
        </w:rPr>
        <w:t>Le Service</w:t>
      </w:r>
    </w:p>
    <w:p w:rsidR="0078151E" w:rsidRDefault="001A6A94" w:rsidP="00A65AC9">
      <w:pPr>
        <w:spacing w:after="0" w:line="320" w:lineRule="exact"/>
        <w:jc w:val="both"/>
      </w:pPr>
      <w:r>
        <w:t xml:space="preserve">Le service </w:t>
      </w:r>
      <w:r w:rsidR="001C45D5">
        <w:t xml:space="preserve">de </w:t>
      </w:r>
      <w:r w:rsidR="00144FB8">
        <w:t>b</w:t>
      </w:r>
      <w:r w:rsidR="001C45D5">
        <w:t xml:space="preserve">iochimie </w:t>
      </w:r>
      <w:r>
        <w:t xml:space="preserve">fait partie </w:t>
      </w:r>
      <w:r w:rsidR="00A749DF">
        <w:t>du CHU</w:t>
      </w:r>
      <w:r w:rsidR="00F52269">
        <w:t xml:space="preserve"> </w:t>
      </w:r>
      <w:r>
        <w:t xml:space="preserve">de Toulouse et est implanté sur deux sites, </w:t>
      </w:r>
      <w:r w:rsidR="00E50336">
        <w:t xml:space="preserve">celui de </w:t>
      </w:r>
      <w:r>
        <w:t xml:space="preserve">Rangueil associé aux pôles digestif, rénal et cardiovasculaire (médical et chirurgical) et </w:t>
      </w:r>
      <w:r w:rsidR="00E50336">
        <w:t xml:space="preserve">le site de </w:t>
      </w:r>
      <w:r>
        <w:t>Purpan associé aux pôles pédiatrique, maternité et neurologique (médical et chirurgical). Ces deux sites travaillent en étroite relation avec des structures de recherche</w:t>
      </w:r>
      <w:r w:rsidR="0078151E">
        <w:t xml:space="preserve"> en lien avec l’Université Paul Sabatier</w:t>
      </w:r>
      <w:r w:rsidR="00830866">
        <w:t> :</w:t>
      </w:r>
      <w:r>
        <w:t xml:space="preserve"> Institut des maladies métaboliques et cardiovasculaires (I2MC, Inserm UMR </w:t>
      </w:r>
      <w:r w:rsidR="0078151E">
        <w:t>1297</w:t>
      </w:r>
      <w:r>
        <w:t>, Rangueil</w:t>
      </w:r>
      <w:r w:rsidR="00224561">
        <w:t> ; http://www.i2mc.inserm.fr</w:t>
      </w:r>
      <w:r>
        <w:t xml:space="preserve">), </w:t>
      </w:r>
      <w:r w:rsidR="001962B6">
        <w:t>Institut des maladies infectieuses et inflammatoires</w:t>
      </w:r>
      <w:r>
        <w:t xml:space="preserve"> (</w:t>
      </w:r>
      <w:r w:rsidR="001962B6">
        <w:t>Infinity</w:t>
      </w:r>
      <w:r>
        <w:t xml:space="preserve">, </w:t>
      </w:r>
      <w:r w:rsidR="001962B6">
        <w:t>Inserm</w:t>
      </w:r>
      <w:r>
        <w:t xml:space="preserve"> UMR </w:t>
      </w:r>
      <w:r w:rsidR="001962B6">
        <w:t>1291</w:t>
      </w:r>
      <w:r>
        <w:t>, Purpan</w:t>
      </w:r>
      <w:r w:rsidR="00224561">
        <w:t xml:space="preserve"> ; </w:t>
      </w:r>
      <w:r w:rsidR="00E0025B">
        <w:t>https://www.infinity.inserm.fr</w:t>
      </w:r>
      <w:r>
        <w:t>), Centre de Recherches sur le Cancer (CRCT, Inserm UMR 1037, Langlade</w:t>
      </w:r>
      <w:r w:rsidR="00224561">
        <w:t xml:space="preserve"> ; </w:t>
      </w:r>
      <w:r w:rsidR="00224561" w:rsidRPr="00224561">
        <w:t>https://www.crct-inserm.fr</w:t>
      </w:r>
      <w:r>
        <w:t xml:space="preserve">). </w:t>
      </w:r>
    </w:p>
    <w:p w:rsidR="001A6A94" w:rsidRDefault="001A6A94" w:rsidP="00A65AC9">
      <w:pPr>
        <w:spacing w:after="0" w:line="320" w:lineRule="exact"/>
        <w:jc w:val="both"/>
      </w:pPr>
      <w:r>
        <w:t xml:space="preserve">L’activité diagnostique du service est d’une part une activité d’urgence </w:t>
      </w:r>
      <w:r w:rsidR="001962B6">
        <w:t xml:space="preserve">et de routine </w:t>
      </w:r>
      <w:r w:rsidR="00830866">
        <w:t xml:space="preserve">articulée </w:t>
      </w:r>
      <w:r>
        <w:t xml:space="preserve">autour de deux plateaux techniques automatisés; d’autre part une activité de plateaux spécialisés en </w:t>
      </w:r>
      <w:r w:rsidR="001962B6">
        <w:t xml:space="preserve">biochimie de la </w:t>
      </w:r>
      <w:r>
        <w:t>nutrition, maladies métaboliques</w:t>
      </w:r>
      <w:r w:rsidR="001962B6">
        <w:t xml:space="preserve"> héréditaires</w:t>
      </w:r>
      <w:r>
        <w:t xml:space="preserve">, hormonologie, </w:t>
      </w:r>
      <w:r w:rsidR="001962B6">
        <w:t>dépistage néonatal et génétiqu</w:t>
      </w:r>
      <w:r>
        <w:t>e moléculaire</w:t>
      </w:r>
      <w:r w:rsidR="00E50336">
        <w:t xml:space="preserve"> (plusieurs labellisations LBMR)</w:t>
      </w:r>
      <w:r>
        <w:t xml:space="preserve">, en lien avec les thématiques des </w:t>
      </w:r>
      <w:r w:rsidR="001962B6">
        <w:t xml:space="preserve">différents </w:t>
      </w:r>
      <w:r>
        <w:t xml:space="preserve">centres de référence </w:t>
      </w:r>
      <w:r w:rsidR="00E50336">
        <w:t xml:space="preserve">maladies rares </w:t>
      </w:r>
      <w:r>
        <w:t xml:space="preserve">et les structures </w:t>
      </w:r>
      <w:r w:rsidR="001962B6">
        <w:t xml:space="preserve">labellisées </w:t>
      </w:r>
      <w:r>
        <w:t>de recherche.</w:t>
      </w:r>
      <w:r w:rsidR="00830866">
        <w:t xml:space="preserve"> Au total, le service de </w:t>
      </w:r>
      <w:r w:rsidR="00144FB8">
        <w:t>b</w:t>
      </w:r>
      <w:r w:rsidR="00830866">
        <w:t xml:space="preserve">iochimie </w:t>
      </w:r>
      <w:r w:rsidR="00830866" w:rsidRPr="00830866">
        <w:t>produ</w:t>
      </w:r>
      <w:r w:rsidR="00830866">
        <w:t xml:space="preserve">it </w:t>
      </w:r>
      <w:r w:rsidR="00830866" w:rsidRPr="00830866">
        <w:t xml:space="preserve">plus de 72 millions de B par </w:t>
      </w:r>
      <w:r w:rsidR="00830866">
        <w:t>an.</w:t>
      </w:r>
    </w:p>
    <w:p w:rsidR="007C7FE4" w:rsidRDefault="007C7FE4" w:rsidP="00A65AC9">
      <w:pPr>
        <w:spacing w:after="0" w:line="320" w:lineRule="exact"/>
        <w:jc w:val="both"/>
      </w:pPr>
      <w:r>
        <w:t>L</w:t>
      </w:r>
      <w:r w:rsidR="003B74E0">
        <w:t>’équipe médicale</w:t>
      </w:r>
      <w:r w:rsidR="00E36A70">
        <w:t xml:space="preserve"> du service</w:t>
      </w:r>
      <w:r>
        <w:t xml:space="preserve"> comprend 4 PU-PH, </w:t>
      </w:r>
      <w:r w:rsidR="00E7069B">
        <w:t>1</w:t>
      </w:r>
      <w:r w:rsidR="00D42FE9">
        <w:t>0</w:t>
      </w:r>
      <w:r w:rsidR="00E7069B">
        <w:t xml:space="preserve"> </w:t>
      </w:r>
      <w:r>
        <w:t>MCU-PH</w:t>
      </w:r>
      <w:r w:rsidR="00E7069B">
        <w:t xml:space="preserve">, </w:t>
      </w:r>
      <w:r w:rsidR="00D42FE9">
        <w:t>2</w:t>
      </w:r>
      <w:r w:rsidR="00E7069B">
        <w:t xml:space="preserve"> AHU, </w:t>
      </w:r>
      <w:r w:rsidR="00D42FE9">
        <w:t>5</w:t>
      </w:r>
      <w:r w:rsidR="00E7069B">
        <w:t xml:space="preserve"> PH, 1 </w:t>
      </w:r>
      <w:r w:rsidR="00D42FE9">
        <w:t>PA</w:t>
      </w:r>
      <w:r w:rsidR="00E7069B">
        <w:t>.</w:t>
      </w:r>
    </w:p>
    <w:p w:rsidR="001C45D5" w:rsidRDefault="001C45D5" w:rsidP="001C45D5">
      <w:pPr>
        <w:spacing w:after="0" w:line="320" w:lineRule="exact"/>
      </w:pPr>
    </w:p>
    <w:p w:rsidR="001A6A94" w:rsidRDefault="001A6A94" w:rsidP="001A6A94">
      <w:pPr>
        <w:rPr>
          <w:b/>
          <w:i/>
        </w:rPr>
      </w:pPr>
      <w:r w:rsidRPr="003767BA">
        <w:rPr>
          <w:b/>
          <w:i/>
        </w:rPr>
        <w:t>Profil d</w:t>
      </w:r>
      <w:r w:rsidR="003767BA">
        <w:rPr>
          <w:b/>
          <w:i/>
        </w:rPr>
        <w:t>u p</w:t>
      </w:r>
      <w:r w:rsidRPr="003767BA">
        <w:rPr>
          <w:b/>
          <w:i/>
        </w:rPr>
        <w:t>oste</w:t>
      </w:r>
    </w:p>
    <w:p w:rsidR="003767BA" w:rsidRPr="003767BA" w:rsidRDefault="003767BA" w:rsidP="00A65AC9">
      <w:pPr>
        <w:numPr>
          <w:ilvl w:val="0"/>
          <w:numId w:val="2"/>
        </w:numPr>
        <w:spacing w:after="0" w:line="320" w:lineRule="exact"/>
        <w:ind w:left="284" w:hanging="284"/>
        <w:jc w:val="both"/>
      </w:pPr>
      <w:r>
        <w:t>Activité h</w:t>
      </w:r>
      <w:r w:rsidRPr="003767BA">
        <w:t>ospitalière</w:t>
      </w:r>
      <w:r w:rsidR="00677F22">
        <w:t> :</w:t>
      </w:r>
    </w:p>
    <w:p w:rsidR="003767BA" w:rsidRDefault="00144FB8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>
        <w:t>Participation à la</w:t>
      </w:r>
      <w:r w:rsidR="003767BA" w:rsidRPr="003767BA">
        <w:t xml:space="preserve"> validation biologique des analyses </w:t>
      </w:r>
      <w:r w:rsidR="003767BA">
        <w:t xml:space="preserve">de </w:t>
      </w:r>
      <w:r>
        <w:t>b</w:t>
      </w:r>
      <w:r w:rsidR="003767BA">
        <w:t>iochimie générale</w:t>
      </w:r>
      <w:r w:rsidR="001C45D5">
        <w:t> ; participation aux gardes et astreintes</w:t>
      </w:r>
    </w:p>
    <w:p w:rsidR="001C45D5" w:rsidRPr="003767BA" w:rsidRDefault="001C45D5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 w:rsidRPr="003767BA">
        <w:t xml:space="preserve">Interprétation et validation biologique des analyses </w:t>
      </w:r>
      <w:r>
        <w:t>d</w:t>
      </w:r>
      <w:r w:rsidR="00144FB8">
        <w:t xml:space="preserve">e biochimie métabolique (chromatographie des acides aminés, </w:t>
      </w:r>
      <w:r w:rsidR="00E50336">
        <w:t>profil</w:t>
      </w:r>
      <w:r w:rsidR="00144FB8">
        <w:t xml:space="preserve"> des acylcarnitines, chromatographie des acides organiques urinaires)</w:t>
      </w:r>
    </w:p>
    <w:p w:rsidR="003767BA" w:rsidRPr="003767BA" w:rsidRDefault="00677F22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>
        <w:lastRenderedPageBreak/>
        <w:t xml:space="preserve">Participation </w:t>
      </w:r>
      <w:r w:rsidR="00133853">
        <w:t>à</w:t>
      </w:r>
      <w:r w:rsidR="00796F98">
        <w:t xml:space="preserve"> </w:t>
      </w:r>
      <w:r w:rsidR="00133853">
        <w:t>des</w:t>
      </w:r>
      <w:r>
        <w:t xml:space="preserve"> développement</w:t>
      </w:r>
      <w:r w:rsidR="00133853">
        <w:t>s</w:t>
      </w:r>
      <w:r>
        <w:t xml:space="preserve"> </w:t>
      </w:r>
      <w:r w:rsidR="00796F98">
        <w:t xml:space="preserve">d’analyses ou à des transferts de méthodes sur de </w:t>
      </w:r>
      <w:r w:rsidR="003767BA" w:rsidRPr="003767BA">
        <w:t>nouvelles technologies (</w:t>
      </w:r>
      <w:r>
        <w:t>spectrométrie de masse</w:t>
      </w:r>
      <w:r w:rsidR="00144FB8">
        <w:t xml:space="preserve"> en particulier</w:t>
      </w:r>
      <w:r w:rsidR="003767BA" w:rsidRPr="003767BA">
        <w:t>)</w:t>
      </w:r>
      <w:r w:rsidR="00CF3B2C">
        <w:t xml:space="preserve"> et à la </w:t>
      </w:r>
      <w:r w:rsidR="00CF3B2C" w:rsidRPr="00CF3B2C">
        <w:t>validation de méthodes</w:t>
      </w:r>
    </w:p>
    <w:p w:rsidR="003767BA" w:rsidRPr="003767BA" w:rsidRDefault="003767BA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 w:rsidRPr="003767BA">
        <w:t>Participation à la démarche qualité du service</w:t>
      </w:r>
    </w:p>
    <w:p w:rsidR="00677F22" w:rsidRDefault="003767BA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 w:rsidRPr="003767BA">
        <w:t xml:space="preserve">Participation aux réunions de concertation clinico-biologiques </w:t>
      </w:r>
    </w:p>
    <w:p w:rsidR="003767BA" w:rsidRPr="003767BA" w:rsidRDefault="003767BA" w:rsidP="00A65AC9">
      <w:pPr>
        <w:numPr>
          <w:ilvl w:val="0"/>
          <w:numId w:val="2"/>
        </w:numPr>
        <w:spacing w:after="0" w:line="320" w:lineRule="exact"/>
        <w:ind w:left="284" w:hanging="294"/>
        <w:jc w:val="both"/>
      </w:pPr>
      <w:r>
        <w:t>Activité u</w:t>
      </w:r>
      <w:r w:rsidRPr="003767BA">
        <w:t>niversitaire</w:t>
      </w:r>
      <w:r w:rsidR="00677F22">
        <w:t> :</w:t>
      </w:r>
    </w:p>
    <w:p w:rsidR="003767BA" w:rsidRPr="003767BA" w:rsidRDefault="003767BA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 w:rsidRPr="003767BA">
        <w:t xml:space="preserve">Participation aux enseignements dirigés de Biochimie et biologie moléculaire </w:t>
      </w:r>
      <w:r w:rsidR="00677F22">
        <w:t>de</w:t>
      </w:r>
      <w:r w:rsidR="00D42FE9">
        <w:t xml:space="preserve"> la </w:t>
      </w:r>
      <w:r w:rsidR="00677F22">
        <w:t xml:space="preserve"> Faculté</w:t>
      </w:r>
      <w:r w:rsidR="00D42FE9">
        <w:t xml:space="preserve"> </w:t>
      </w:r>
      <w:r w:rsidR="00677F22">
        <w:t xml:space="preserve">de </w:t>
      </w:r>
      <w:r w:rsidR="00D42FE9">
        <w:t>Santé</w:t>
      </w:r>
      <w:r w:rsidR="00677F22">
        <w:t xml:space="preserve"> de Toulouse (PASS, </w:t>
      </w:r>
      <w:r w:rsidR="00D42FE9">
        <w:t xml:space="preserve">LAS, </w:t>
      </w:r>
      <w:r w:rsidR="00677F22">
        <w:t>DFGSM2, DFGSM3)</w:t>
      </w:r>
    </w:p>
    <w:p w:rsidR="003767BA" w:rsidRPr="003767BA" w:rsidRDefault="00677F22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 w:rsidRPr="003767BA">
        <w:t xml:space="preserve">Participation </w:t>
      </w:r>
      <w:r>
        <w:t>à la formation (DES) et à l’e</w:t>
      </w:r>
      <w:r w:rsidR="003767BA" w:rsidRPr="003767BA">
        <w:t>ncadrement des internes</w:t>
      </w:r>
      <w:r w:rsidR="004D3D9D">
        <w:t xml:space="preserve"> et des techniciens</w:t>
      </w:r>
    </w:p>
    <w:p w:rsidR="003767BA" w:rsidRPr="003767BA" w:rsidRDefault="00677F22" w:rsidP="00A65AC9">
      <w:pPr>
        <w:numPr>
          <w:ilvl w:val="0"/>
          <w:numId w:val="2"/>
        </w:numPr>
        <w:spacing w:after="0" w:line="320" w:lineRule="exact"/>
        <w:ind w:left="284" w:hanging="294"/>
        <w:jc w:val="both"/>
      </w:pPr>
      <w:r>
        <w:t>Activité de r</w:t>
      </w:r>
      <w:r w:rsidR="003767BA" w:rsidRPr="003767BA">
        <w:t>echerche</w:t>
      </w:r>
      <w:r>
        <w:t> :</w:t>
      </w:r>
    </w:p>
    <w:p w:rsidR="003767BA" w:rsidRPr="003767BA" w:rsidRDefault="00677F22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>
        <w:t>I</w:t>
      </w:r>
      <w:r w:rsidR="003767BA" w:rsidRPr="003767BA">
        <w:t>nsertion au sein d</w:t>
      </w:r>
      <w:r>
        <w:t>’une des</w:t>
      </w:r>
      <w:r w:rsidR="003767BA" w:rsidRPr="003767BA">
        <w:t xml:space="preserve"> équipe</w:t>
      </w:r>
      <w:r>
        <w:t>s</w:t>
      </w:r>
      <w:r w:rsidR="003767BA" w:rsidRPr="003767BA">
        <w:t xml:space="preserve"> de recherche </w:t>
      </w:r>
      <w:r>
        <w:t>à Toulouse auxquelles sont rattachés les biologistes hospitalo-universitaires du service</w:t>
      </w:r>
    </w:p>
    <w:p w:rsidR="00D42FE9" w:rsidRDefault="00D42FE9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 w:rsidRPr="003767BA">
        <w:t>P</w:t>
      </w:r>
      <w:r>
        <w:t>réparation d’un master 2 et/ou d’un doctorat d’université</w:t>
      </w:r>
    </w:p>
    <w:p w:rsidR="00C0214A" w:rsidRDefault="00C0214A" w:rsidP="00A65AC9">
      <w:pPr>
        <w:jc w:val="both"/>
      </w:pPr>
    </w:p>
    <w:p w:rsidR="001A6A94" w:rsidRPr="003767BA" w:rsidRDefault="001A6A94" w:rsidP="00A65AC9">
      <w:pPr>
        <w:jc w:val="both"/>
        <w:rPr>
          <w:b/>
          <w:i/>
        </w:rPr>
      </w:pPr>
      <w:r w:rsidRPr="003767BA">
        <w:rPr>
          <w:b/>
          <w:i/>
        </w:rPr>
        <w:t>Formation, compétences et qualités requises</w:t>
      </w:r>
    </w:p>
    <w:p w:rsidR="001A6A94" w:rsidRDefault="001A6A94" w:rsidP="00A65AC9">
      <w:pPr>
        <w:pStyle w:val="Paragraphedeliste"/>
        <w:numPr>
          <w:ilvl w:val="0"/>
          <w:numId w:val="3"/>
        </w:numPr>
        <w:jc w:val="both"/>
      </w:pPr>
      <w:r>
        <w:t xml:space="preserve">Formation : </w:t>
      </w:r>
      <w:r w:rsidR="00C0214A" w:rsidRPr="00C0214A">
        <w:t xml:space="preserve">Docteur </w:t>
      </w:r>
      <w:r w:rsidR="00C0214A">
        <w:t xml:space="preserve">en </w:t>
      </w:r>
      <w:r w:rsidR="00C0214A" w:rsidRPr="00C0214A">
        <w:t xml:space="preserve">Médecine </w:t>
      </w:r>
      <w:r w:rsidR="00C0214A">
        <w:t xml:space="preserve">ou </w:t>
      </w:r>
      <w:r w:rsidR="00C0214A" w:rsidRPr="00C0214A">
        <w:t>en Pharmacie</w:t>
      </w:r>
      <w:r w:rsidR="00C0214A">
        <w:t>, ti</w:t>
      </w:r>
      <w:r w:rsidR="00C0214A" w:rsidRPr="00C0214A">
        <w:t>tulaire du DES de Biologie Médicale</w:t>
      </w:r>
      <w:r w:rsidR="00C0214A">
        <w:t xml:space="preserve"> </w:t>
      </w:r>
      <w:r>
        <w:t>(depuis moins de 3 ans)</w:t>
      </w:r>
      <w:r w:rsidR="003767BA">
        <w:t xml:space="preserve"> et si </w:t>
      </w:r>
      <w:r w:rsidR="00D42FE9">
        <w:t>possible d’un M1 (voire M2)</w:t>
      </w:r>
    </w:p>
    <w:p w:rsidR="00832E52" w:rsidRPr="00E50336" w:rsidRDefault="00832E52" w:rsidP="00A65AC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E50336">
        <w:rPr>
          <w:rFonts w:ascii="Calibri" w:eastAsia="Times New Roman" w:hAnsi="Calibri" w:cs="Calibri"/>
          <w:color w:val="000000"/>
          <w:lang w:eastAsia="fr-FR"/>
        </w:rPr>
        <w:t>Intérêt pour la biochimie métabolique et pour le diagnostic des maladies héréditaires du métabolisme (la détention du DIU ou l’intention de s’y inscrire serai</w:t>
      </w:r>
      <w:r w:rsidR="007D0F4A" w:rsidRPr="00E50336">
        <w:rPr>
          <w:rFonts w:ascii="Calibri" w:eastAsia="Times New Roman" w:hAnsi="Calibri" w:cs="Calibri"/>
          <w:color w:val="000000"/>
          <w:lang w:eastAsia="fr-FR"/>
        </w:rPr>
        <w:t>en</w:t>
      </w:r>
      <w:r w:rsidRPr="00E50336">
        <w:rPr>
          <w:rFonts w:ascii="Calibri" w:eastAsia="Times New Roman" w:hAnsi="Calibri" w:cs="Calibri"/>
          <w:color w:val="000000"/>
          <w:lang w:eastAsia="fr-FR"/>
        </w:rPr>
        <w:t>t particulièrement apprécié</w:t>
      </w:r>
      <w:r w:rsidR="007D0F4A" w:rsidRPr="00E50336">
        <w:rPr>
          <w:rFonts w:ascii="Calibri" w:eastAsia="Times New Roman" w:hAnsi="Calibri" w:cs="Calibri"/>
          <w:color w:val="000000"/>
          <w:lang w:eastAsia="fr-FR"/>
        </w:rPr>
        <w:t>es</w:t>
      </w:r>
      <w:r w:rsidRPr="00E50336">
        <w:rPr>
          <w:rFonts w:ascii="Calibri" w:eastAsia="Times New Roman" w:hAnsi="Calibri" w:cs="Calibri"/>
          <w:color w:val="000000"/>
          <w:lang w:eastAsia="fr-FR"/>
        </w:rPr>
        <w:t>)</w:t>
      </w:r>
    </w:p>
    <w:p w:rsidR="001A6A94" w:rsidRDefault="00DF608F" w:rsidP="00A65AC9">
      <w:pPr>
        <w:pStyle w:val="Paragraphedeliste"/>
        <w:numPr>
          <w:ilvl w:val="0"/>
          <w:numId w:val="3"/>
        </w:numPr>
        <w:jc w:val="both"/>
      </w:pPr>
      <w:r>
        <w:t>A</w:t>
      </w:r>
      <w:r w:rsidRPr="00FC7D31">
        <w:t>ptitude à la communication au sein de l’équipe</w:t>
      </w:r>
    </w:p>
    <w:p w:rsidR="00CB7F1C" w:rsidRDefault="00CB7F1C" w:rsidP="00A65AC9">
      <w:pPr>
        <w:jc w:val="both"/>
      </w:pPr>
    </w:p>
    <w:p w:rsidR="001A6A94" w:rsidRDefault="001A6A94" w:rsidP="00A65AC9">
      <w:pPr>
        <w:jc w:val="both"/>
      </w:pPr>
      <w:r>
        <w:t xml:space="preserve">Le poste est à pourvoir </w:t>
      </w:r>
      <w:r w:rsidRPr="001C45D5">
        <w:rPr>
          <w:u w:val="single"/>
        </w:rPr>
        <w:t>au 1er novembre 20</w:t>
      </w:r>
      <w:r w:rsidR="00CB7F1C" w:rsidRPr="001C45D5">
        <w:rPr>
          <w:u w:val="single"/>
        </w:rPr>
        <w:t>2</w:t>
      </w:r>
      <w:r w:rsidR="00D42FE9">
        <w:rPr>
          <w:u w:val="single"/>
        </w:rPr>
        <w:t>4</w:t>
      </w:r>
      <w:r>
        <w:t xml:space="preserve">. </w:t>
      </w:r>
      <w:r w:rsidRPr="00144FB8">
        <w:rPr>
          <w:b/>
        </w:rPr>
        <w:t>Il est destiné à évoluer vers un poste de MCU-PH.</w:t>
      </w:r>
    </w:p>
    <w:p w:rsidR="00CB7F1C" w:rsidRDefault="00CB7F1C" w:rsidP="00A65AC9">
      <w:pPr>
        <w:jc w:val="both"/>
        <w:rPr>
          <w:i/>
        </w:rPr>
      </w:pPr>
    </w:p>
    <w:p w:rsidR="00C0214A" w:rsidRPr="003767BA" w:rsidRDefault="006E75D2" w:rsidP="00A65AC9">
      <w:pPr>
        <w:jc w:val="both"/>
        <w:rPr>
          <w:b/>
          <w:i/>
        </w:rPr>
      </w:pPr>
      <w:r w:rsidRPr="003767BA">
        <w:rPr>
          <w:b/>
          <w:i/>
        </w:rPr>
        <w:t>Personne à c</w:t>
      </w:r>
      <w:r w:rsidR="001A6A94" w:rsidRPr="003767BA">
        <w:rPr>
          <w:b/>
          <w:i/>
        </w:rPr>
        <w:t>ontact</w:t>
      </w:r>
      <w:r w:rsidRPr="003767BA">
        <w:rPr>
          <w:b/>
          <w:i/>
        </w:rPr>
        <w:t>er</w:t>
      </w:r>
    </w:p>
    <w:p w:rsidR="001A6A94" w:rsidRDefault="001A6A94" w:rsidP="00A65AC9">
      <w:pPr>
        <w:jc w:val="both"/>
      </w:pPr>
      <w:r>
        <w:t xml:space="preserve">Pr </w:t>
      </w:r>
      <w:r w:rsidR="00D42FE9">
        <w:t>Jérôme AUSSEIL</w:t>
      </w:r>
      <w:r w:rsidR="006E75D2">
        <w:t xml:space="preserve"> (chef de service)</w:t>
      </w:r>
      <w:r>
        <w:t xml:space="preserve"> : </w:t>
      </w:r>
      <w:r w:rsidR="00D42FE9">
        <w:t>ausseil.j</w:t>
      </w:r>
      <w:r>
        <w:t xml:space="preserve">@chu-toulouse.fr; Tel : 05 67 69 03 </w:t>
      </w:r>
      <w:r w:rsidR="00D42FE9">
        <w:t>76</w:t>
      </w:r>
      <w:r>
        <w:t xml:space="preserve"> (secrétariat)</w:t>
      </w:r>
    </w:p>
    <w:p w:rsidR="001A6A94" w:rsidRDefault="001A6A94" w:rsidP="00A65AC9">
      <w:pPr>
        <w:jc w:val="both"/>
      </w:pPr>
    </w:p>
    <w:p w:rsidR="00203B29" w:rsidRDefault="00203B29" w:rsidP="00A65AC9">
      <w:pPr>
        <w:pStyle w:val="Retraitcorpsdetexte"/>
        <w:spacing w:after="40"/>
        <w:ind w:firstLine="0"/>
        <w:rPr>
          <w:rFonts w:asciiTheme="minorHAnsi" w:hAnsiTheme="minorHAnsi"/>
          <w:sz w:val="22"/>
        </w:rPr>
      </w:pPr>
    </w:p>
    <w:p w:rsidR="00203B29" w:rsidRDefault="00203B29">
      <w:pPr>
        <w:pStyle w:val="Retraitcorpsdetexte"/>
        <w:spacing w:after="40"/>
        <w:ind w:firstLine="0"/>
        <w:rPr>
          <w:rFonts w:asciiTheme="minorHAnsi" w:hAnsiTheme="minorHAnsi"/>
          <w:sz w:val="22"/>
        </w:rPr>
      </w:pPr>
    </w:p>
    <w:p w:rsidR="00203B29" w:rsidRDefault="00203B29"/>
    <w:sectPr w:rsidR="002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48FC"/>
    <w:multiLevelType w:val="hybridMultilevel"/>
    <w:tmpl w:val="A57887EA"/>
    <w:lvl w:ilvl="0" w:tplc="D85E4D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1D23"/>
    <w:multiLevelType w:val="hybridMultilevel"/>
    <w:tmpl w:val="EADECB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D7044"/>
    <w:multiLevelType w:val="hybridMultilevel"/>
    <w:tmpl w:val="C5C6C7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29"/>
    <w:rsid w:val="00133853"/>
    <w:rsid w:val="00144FB8"/>
    <w:rsid w:val="001962B6"/>
    <w:rsid w:val="001A6A94"/>
    <w:rsid w:val="001C45D5"/>
    <w:rsid w:val="00203B29"/>
    <w:rsid w:val="00224561"/>
    <w:rsid w:val="002562C4"/>
    <w:rsid w:val="002B7202"/>
    <w:rsid w:val="003767BA"/>
    <w:rsid w:val="003B74E0"/>
    <w:rsid w:val="004D3D9D"/>
    <w:rsid w:val="00556A0F"/>
    <w:rsid w:val="00592872"/>
    <w:rsid w:val="005A6D78"/>
    <w:rsid w:val="00677F22"/>
    <w:rsid w:val="006E75D2"/>
    <w:rsid w:val="007111AC"/>
    <w:rsid w:val="0078151E"/>
    <w:rsid w:val="00796F98"/>
    <w:rsid w:val="007C7FE4"/>
    <w:rsid w:val="007D0F4A"/>
    <w:rsid w:val="00830866"/>
    <w:rsid w:val="00832E52"/>
    <w:rsid w:val="00A65AC9"/>
    <w:rsid w:val="00A749DF"/>
    <w:rsid w:val="00AE6996"/>
    <w:rsid w:val="00C0214A"/>
    <w:rsid w:val="00C37416"/>
    <w:rsid w:val="00C822DB"/>
    <w:rsid w:val="00CB7F1C"/>
    <w:rsid w:val="00CF3B2C"/>
    <w:rsid w:val="00D42FE9"/>
    <w:rsid w:val="00D60C4C"/>
    <w:rsid w:val="00DF608F"/>
    <w:rsid w:val="00E0025B"/>
    <w:rsid w:val="00E36A70"/>
    <w:rsid w:val="00E50336"/>
    <w:rsid w:val="00E7069B"/>
    <w:rsid w:val="00F066B2"/>
    <w:rsid w:val="00F52269"/>
    <w:rsid w:val="00FC7D31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A23A5-0BCF-154A-AC97-0BEFB1D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7F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45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hu-toulouse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DAVID</dc:creator>
  <cp:lastModifiedBy>Jérôme Ausseil</cp:lastModifiedBy>
  <cp:revision>2</cp:revision>
  <dcterms:created xsi:type="dcterms:W3CDTF">2024-07-18T12:21:00Z</dcterms:created>
  <dcterms:modified xsi:type="dcterms:W3CDTF">2024-07-18T12:21:00Z</dcterms:modified>
</cp:coreProperties>
</file>