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79" w:rsidRDefault="00AD4A79" w:rsidP="00D52971">
      <w:pPr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Le laboratoire du Groupe Hospitalier Bretagne Sud à LORIENT (Morbihan) recrute un(e) assistant(e) pour son laboratoire de Biologie (poste à orientation biochimie</w:t>
      </w:r>
      <w:r w:rsidR="00334D7E">
        <w:rPr>
          <w:rFonts w:ascii="Arial" w:hAnsi="Arial" w:cs="Arial"/>
          <w:color w:val="333333"/>
          <w:sz w:val="20"/>
          <w:szCs w:val="20"/>
        </w:rPr>
        <w:t>)</w:t>
      </w:r>
    </w:p>
    <w:p w:rsidR="00AD4A79" w:rsidRDefault="00AD4A79" w:rsidP="00D52971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AD4A79" w:rsidRPr="00A61D6B" w:rsidRDefault="00AD4A79" w:rsidP="00D52971">
      <w:pPr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A61D6B">
        <w:rPr>
          <w:rFonts w:ascii="Arial" w:hAnsi="Arial" w:cs="Arial"/>
          <w:b/>
          <w:color w:val="333333"/>
          <w:sz w:val="20"/>
          <w:szCs w:val="20"/>
        </w:rPr>
        <w:t>Présentation du GHBS</w:t>
      </w:r>
    </w:p>
    <w:p w:rsidR="00060604" w:rsidRDefault="00AD4A79" w:rsidP="00D52971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Issu de la fusion de 4 établissements, le GHBS </w:t>
      </w:r>
      <w:r w:rsidR="007F4EC5">
        <w:rPr>
          <w:rFonts w:ascii="Arial" w:hAnsi="Arial" w:cs="Arial"/>
          <w:color w:val="333333"/>
          <w:sz w:val="20"/>
          <w:szCs w:val="20"/>
        </w:rPr>
        <w:t>a une capacité d’accueil de</w:t>
      </w:r>
      <w:r>
        <w:rPr>
          <w:rFonts w:ascii="Arial" w:hAnsi="Arial" w:cs="Arial"/>
          <w:color w:val="333333"/>
          <w:sz w:val="20"/>
          <w:szCs w:val="20"/>
        </w:rPr>
        <w:t xml:space="preserve"> 2147 lits et places</w:t>
      </w:r>
      <w:r w:rsidR="007F4EC5">
        <w:rPr>
          <w:rFonts w:ascii="Arial" w:hAnsi="Arial" w:cs="Arial"/>
          <w:color w:val="333333"/>
          <w:sz w:val="20"/>
          <w:szCs w:val="20"/>
        </w:rPr>
        <w:t xml:space="preserve"> et 5100 personnels dont 506 médicaux</w:t>
      </w:r>
      <w:r w:rsidR="00583736">
        <w:rPr>
          <w:rFonts w:ascii="Arial" w:hAnsi="Arial" w:cs="Arial"/>
          <w:color w:val="333333"/>
          <w:sz w:val="20"/>
          <w:szCs w:val="20"/>
        </w:rPr>
        <w:t xml:space="preserve"> y travaillent</w:t>
      </w:r>
      <w:r>
        <w:rPr>
          <w:rFonts w:ascii="Arial" w:hAnsi="Arial" w:cs="Arial"/>
          <w:color w:val="333333"/>
          <w:sz w:val="20"/>
          <w:szCs w:val="20"/>
        </w:rPr>
        <w:t>.</w:t>
      </w:r>
      <w:r w:rsidR="007F4EC5">
        <w:rPr>
          <w:rFonts w:ascii="Arial" w:hAnsi="Arial" w:cs="Arial"/>
          <w:color w:val="333333"/>
          <w:sz w:val="20"/>
          <w:szCs w:val="20"/>
        </w:rPr>
        <w:t xml:space="preserve"> Il est l’établissement de référence</w:t>
      </w:r>
      <w:r w:rsidR="00583736">
        <w:rPr>
          <w:rFonts w:ascii="Arial" w:hAnsi="Arial" w:cs="Arial"/>
          <w:color w:val="333333"/>
          <w:sz w:val="20"/>
          <w:szCs w:val="20"/>
        </w:rPr>
        <w:t xml:space="preserve"> </w:t>
      </w:r>
      <w:r w:rsidR="007F4EC5">
        <w:rPr>
          <w:rFonts w:ascii="Arial" w:hAnsi="Arial" w:cs="Arial"/>
          <w:color w:val="333333"/>
          <w:sz w:val="20"/>
          <w:szCs w:val="20"/>
        </w:rPr>
        <w:t>pour un bassin sanitaire de 300000 habitants.</w:t>
      </w:r>
      <w:r>
        <w:rPr>
          <w:rFonts w:ascii="Arial" w:hAnsi="Arial" w:cs="Arial"/>
          <w:color w:val="333333"/>
          <w:sz w:val="20"/>
          <w:szCs w:val="20"/>
        </w:rPr>
        <w:t xml:space="preserve"> Il possède un service d’urgences (93 000 passages annuels</w:t>
      </w:r>
      <w:r w:rsidR="00D52971">
        <w:rPr>
          <w:rFonts w:ascii="Arial" w:hAnsi="Arial" w:cs="Arial"/>
          <w:color w:val="333333"/>
          <w:sz w:val="20"/>
          <w:szCs w:val="20"/>
        </w:rPr>
        <w:t>), une réanimation adulte, des blocs opératoires et plusieurs plateaux interventionnels (imagerie, coronarographie, endoscopie), une maternité de niveau 2 (2600 naissances), des spécialités médicales dont l’hématologie, l’oncologie, les maladies infectieuses et des spécialités chirurgicales d’orthopédie, de viscérale, de gynécologie, d’ORL et d’ophtalmologie.</w:t>
      </w:r>
      <w:r w:rsidR="007F4EC5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583736" w:rsidRDefault="00583736" w:rsidP="00D52971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Ses atouts : </w:t>
      </w:r>
      <w:r w:rsidR="00EF17B9">
        <w:rPr>
          <w:rFonts w:ascii="Arial" w:hAnsi="Arial" w:cs="Arial"/>
          <w:color w:val="333333"/>
          <w:sz w:val="20"/>
          <w:szCs w:val="20"/>
        </w:rPr>
        <w:t>locaux modernes, situation géographique (bord de mer, gare TGV à 1h30 de Rennes, Brest, Nantes</w:t>
      </w:r>
      <w:r w:rsidR="006E3C60">
        <w:rPr>
          <w:rFonts w:ascii="Arial" w:hAnsi="Arial" w:cs="Arial"/>
          <w:color w:val="333333"/>
          <w:sz w:val="20"/>
          <w:szCs w:val="20"/>
        </w:rPr>
        <w:t>)</w:t>
      </w:r>
    </w:p>
    <w:p w:rsidR="007F4EC5" w:rsidRDefault="007F4EC5" w:rsidP="00D52971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7F4EC5" w:rsidRPr="00A61D6B" w:rsidRDefault="007F4EC5" w:rsidP="00D52971">
      <w:pPr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A61D6B">
        <w:rPr>
          <w:rFonts w:ascii="Arial" w:hAnsi="Arial" w:cs="Arial"/>
          <w:b/>
          <w:color w:val="333333"/>
          <w:sz w:val="20"/>
          <w:szCs w:val="20"/>
        </w:rPr>
        <w:t>Présentation du laboratoire</w:t>
      </w:r>
    </w:p>
    <w:p w:rsidR="002B5D73" w:rsidRDefault="007F4EC5" w:rsidP="002B5D73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Laboratoire polyvalent réparti sur 2 sites</w:t>
      </w:r>
      <w:r w:rsidR="00A16659">
        <w:rPr>
          <w:rFonts w:ascii="Arial" w:hAnsi="Arial" w:cs="Arial"/>
          <w:color w:val="333333"/>
          <w:sz w:val="20"/>
          <w:szCs w:val="20"/>
        </w:rPr>
        <w:t>, il réalise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C238B1">
        <w:rPr>
          <w:rFonts w:ascii="Arial" w:hAnsi="Arial" w:cs="Arial"/>
          <w:color w:val="333333"/>
          <w:sz w:val="20"/>
          <w:szCs w:val="20"/>
        </w:rPr>
        <w:t>45 millions de B</w:t>
      </w:r>
      <w:r w:rsidR="00A16659">
        <w:rPr>
          <w:rFonts w:ascii="Arial" w:hAnsi="Arial" w:cs="Arial"/>
          <w:color w:val="333333"/>
          <w:sz w:val="20"/>
          <w:szCs w:val="20"/>
        </w:rPr>
        <w:t xml:space="preserve"> pour 2,2 millions d’actes pour des patients hospital</w:t>
      </w:r>
      <w:r w:rsidR="00785275">
        <w:rPr>
          <w:rFonts w:ascii="Arial" w:hAnsi="Arial" w:cs="Arial"/>
          <w:color w:val="333333"/>
          <w:sz w:val="20"/>
          <w:szCs w:val="20"/>
        </w:rPr>
        <w:t xml:space="preserve">isés, des patients externes et pour des </w:t>
      </w:r>
      <w:r w:rsidR="00A16659">
        <w:rPr>
          <w:rFonts w:ascii="Arial" w:hAnsi="Arial" w:cs="Arial"/>
          <w:color w:val="333333"/>
          <w:sz w:val="20"/>
          <w:szCs w:val="20"/>
        </w:rPr>
        <w:t>établissement</w:t>
      </w:r>
      <w:r w:rsidR="00785275">
        <w:rPr>
          <w:rFonts w:ascii="Arial" w:hAnsi="Arial" w:cs="Arial"/>
          <w:color w:val="333333"/>
          <w:sz w:val="20"/>
          <w:szCs w:val="20"/>
        </w:rPr>
        <w:t>s</w:t>
      </w:r>
      <w:r w:rsidR="00A16659">
        <w:rPr>
          <w:rFonts w:ascii="Arial" w:hAnsi="Arial" w:cs="Arial"/>
          <w:color w:val="333333"/>
          <w:sz w:val="20"/>
          <w:szCs w:val="20"/>
        </w:rPr>
        <w:t xml:space="preserve"> de soins partenaires. </w:t>
      </w:r>
    </w:p>
    <w:p w:rsidR="002B5D73" w:rsidRDefault="002B5D73" w:rsidP="002B5D73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L’</w:t>
      </w:r>
      <w:r w:rsidR="00BE3FEF">
        <w:rPr>
          <w:rFonts w:ascii="Arial" w:hAnsi="Arial" w:cs="Arial"/>
          <w:color w:val="333333"/>
          <w:sz w:val="20"/>
          <w:szCs w:val="20"/>
        </w:rPr>
        <w:t>équipe actuelle compte</w:t>
      </w:r>
      <w:r>
        <w:rPr>
          <w:rFonts w:ascii="Arial" w:hAnsi="Arial" w:cs="Arial"/>
          <w:color w:val="333333"/>
          <w:sz w:val="20"/>
          <w:szCs w:val="20"/>
        </w:rPr>
        <w:t xml:space="preserve"> 8.1 ETP biologistes.</w:t>
      </w:r>
    </w:p>
    <w:p w:rsidR="007F4EC5" w:rsidRDefault="00A16659" w:rsidP="002B5D73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Le laboratoire est organisé par spécialité : </w:t>
      </w:r>
    </w:p>
    <w:p w:rsidR="00785275" w:rsidRDefault="00785275" w:rsidP="002B5D73">
      <w:pPr>
        <w:spacing w:after="0" w:line="276" w:lineRule="auto"/>
        <w:ind w:left="1416" w:hanging="141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Biochimie :</w:t>
      </w:r>
      <w:r>
        <w:rPr>
          <w:rFonts w:ascii="Arial" w:hAnsi="Arial" w:cs="Arial"/>
          <w:color w:val="333333"/>
          <w:sz w:val="20"/>
          <w:szCs w:val="20"/>
        </w:rPr>
        <w:tab/>
        <w:t>Biochimie générale et immuno-analyse (urgence, routine) réalisée sur un plateau technique</w:t>
      </w:r>
      <w:r w:rsidR="00A61D6B">
        <w:rPr>
          <w:rFonts w:ascii="Arial" w:hAnsi="Arial" w:cs="Arial"/>
          <w:color w:val="333333"/>
          <w:sz w:val="20"/>
          <w:szCs w:val="20"/>
        </w:rPr>
        <w:t>. Chaine robotisée, deux lignes d’analyses Atellica, liaison XL.</w:t>
      </w:r>
    </w:p>
    <w:p w:rsidR="00785275" w:rsidRPr="00785275" w:rsidRDefault="00785275" w:rsidP="002B5D73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Arial" w:eastAsia="CIDFont+F3" w:hAnsi="Arial" w:cs="Arial"/>
          <w:sz w:val="20"/>
          <w:szCs w:val="20"/>
          <w:lang w:bidi="he-IL"/>
        </w:rPr>
      </w:pPr>
      <w:r w:rsidRPr="00785275">
        <w:rPr>
          <w:rFonts w:ascii="Arial" w:eastAsia="CIDFont+F3" w:hAnsi="Arial" w:cs="Arial"/>
          <w:sz w:val="20"/>
          <w:szCs w:val="20"/>
          <w:lang w:bidi="he-IL"/>
        </w:rPr>
        <w:t>Electrophorèse des protéines sériq</w:t>
      </w:r>
      <w:r>
        <w:rPr>
          <w:rFonts w:ascii="Arial" w:eastAsia="CIDFont+F3" w:hAnsi="Arial" w:cs="Arial"/>
          <w:sz w:val="20"/>
          <w:szCs w:val="20"/>
          <w:lang w:bidi="he-IL"/>
        </w:rPr>
        <w:t>ue et urinaire</w:t>
      </w:r>
      <w:r w:rsidR="00A61D6B">
        <w:rPr>
          <w:rFonts w:ascii="Arial" w:eastAsia="CIDFont+F3" w:hAnsi="Arial" w:cs="Arial"/>
          <w:sz w:val="20"/>
          <w:szCs w:val="20"/>
          <w:lang w:bidi="he-IL"/>
        </w:rPr>
        <w:t xml:space="preserve"> (capillarys 3)</w:t>
      </w:r>
      <w:r>
        <w:rPr>
          <w:rFonts w:ascii="Arial" w:eastAsia="CIDFont+F3" w:hAnsi="Arial" w:cs="Arial"/>
          <w:sz w:val="20"/>
          <w:szCs w:val="20"/>
          <w:lang w:bidi="he-IL"/>
        </w:rPr>
        <w:t>, immunofixation</w:t>
      </w:r>
    </w:p>
    <w:p w:rsidR="002B5D73" w:rsidRDefault="00785275" w:rsidP="002B5D73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Arial" w:eastAsia="CIDFont+F3" w:hAnsi="Arial" w:cs="Arial"/>
          <w:sz w:val="20"/>
          <w:szCs w:val="20"/>
          <w:lang w:bidi="he-IL"/>
        </w:rPr>
      </w:pPr>
      <w:r w:rsidRPr="00785275">
        <w:rPr>
          <w:rFonts w:ascii="Arial" w:eastAsia="CIDFont+F3" w:hAnsi="Arial" w:cs="Arial"/>
          <w:sz w:val="20"/>
          <w:szCs w:val="20"/>
          <w:lang w:bidi="he-IL"/>
        </w:rPr>
        <w:t>Spectrométrie de masse en LC-MS/MS</w:t>
      </w:r>
      <w:r w:rsidR="00A61D6B">
        <w:rPr>
          <w:rFonts w:ascii="Arial" w:eastAsia="CIDFont+F3" w:hAnsi="Arial" w:cs="Arial"/>
          <w:sz w:val="20"/>
          <w:szCs w:val="20"/>
          <w:lang w:bidi="he-IL"/>
        </w:rPr>
        <w:t xml:space="preserve"> XEvo Waters</w:t>
      </w:r>
      <w:r>
        <w:rPr>
          <w:rFonts w:ascii="Arial" w:eastAsia="CIDFont+F3" w:hAnsi="Arial" w:cs="Arial"/>
          <w:sz w:val="20"/>
          <w:szCs w:val="20"/>
          <w:lang w:bidi="he-IL"/>
        </w:rPr>
        <w:t xml:space="preserve"> (pharmacologie</w:t>
      </w:r>
      <w:r w:rsidR="002B5D73">
        <w:rPr>
          <w:rFonts w:ascii="Arial" w:eastAsia="CIDFont+F3" w:hAnsi="Arial" w:cs="Arial"/>
          <w:sz w:val="20"/>
          <w:szCs w:val="20"/>
          <w:lang w:bidi="he-IL"/>
        </w:rPr>
        <w:t>)</w:t>
      </w:r>
    </w:p>
    <w:p w:rsidR="002B5D73" w:rsidRPr="00334D7E" w:rsidRDefault="002B5D73" w:rsidP="002B5D73">
      <w:pPr>
        <w:ind w:left="708" w:firstLine="708"/>
        <w:jc w:val="both"/>
        <w:rPr>
          <w:sz w:val="20"/>
          <w:szCs w:val="20"/>
        </w:rPr>
      </w:pPr>
      <w:r w:rsidRPr="00334D7E">
        <w:rPr>
          <w:rFonts w:ascii="Arial" w:hAnsi="Arial" w:cs="Arial"/>
          <w:sz w:val="20"/>
          <w:szCs w:val="20"/>
        </w:rPr>
        <w:t>L’unité de biochimie compte actuellement 2,5 ETP biologistes</w:t>
      </w:r>
    </w:p>
    <w:p w:rsidR="00785275" w:rsidRPr="002B5D73" w:rsidRDefault="00785275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lang w:bidi="he-IL"/>
        </w:rPr>
      </w:pPr>
      <w:r>
        <w:rPr>
          <w:rFonts w:ascii="Arial" w:eastAsia="CIDFont+F3" w:hAnsi="Arial" w:cs="Arial"/>
          <w:sz w:val="20"/>
          <w:szCs w:val="20"/>
          <w:lang w:bidi="he-IL"/>
        </w:rPr>
        <w:t>Hématologie :</w:t>
      </w:r>
      <w:r w:rsidR="00A61D6B">
        <w:rPr>
          <w:rFonts w:ascii="Arial" w:eastAsia="CIDFont+F3" w:hAnsi="Arial" w:cs="Arial"/>
          <w:sz w:val="20"/>
          <w:szCs w:val="20"/>
          <w:lang w:bidi="he-IL"/>
        </w:rPr>
        <w:tab/>
        <w:t>Cytologie sanguine et médullaire, cytométrie, hémostase, auto-immunité</w:t>
      </w:r>
    </w:p>
    <w:p w:rsidR="00A61D6B" w:rsidRDefault="00A61D6B" w:rsidP="002B5D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3" w:hAnsi="Arial" w:cs="Arial"/>
          <w:sz w:val="20"/>
          <w:szCs w:val="20"/>
          <w:lang w:bidi="he-IL"/>
        </w:rPr>
      </w:pPr>
      <w:r>
        <w:rPr>
          <w:rFonts w:ascii="Arial" w:eastAsia="CIDFont+F3" w:hAnsi="Arial" w:cs="Arial"/>
          <w:sz w:val="20"/>
          <w:szCs w:val="20"/>
          <w:lang w:bidi="he-IL"/>
        </w:rPr>
        <w:t>Microbiologie Sérologie, Biologie moléculaire</w:t>
      </w:r>
      <w:r w:rsidR="002B5D73">
        <w:rPr>
          <w:rFonts w:ascii="Arial" w:eastAsia="CIDFont+F3" w:hAnsi="Arial" w:cs="Arial"/>
          <w:sz w:val="20"/>
          <w:szCs w:val="20"/>
          <w:lang w:bidi="he-IL"/>
        </w:rPr>
        <w:t>, H</w:t>
      </w:r>
      <w:r w:rsidR="00740F35">
        <w:rPr>
          <w:rFonts w:ascii="Arial" w:eastAsia="CIDFont+F3" w:hAnsi="Arial" w:cs="Arial"/>
          <w:sz w:val="20"/>
          <w:szCs w:val="20"/>
          <w:lang w:bidi="he-IL"/>
        </w:rPr>
        <w:t>ygiène</w:t>
      </w:r>
    </w:p>
    <w:p w:rsidR="00A61D6B" w:rsidRDefault="00A61D6B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20"/>
          <w:szCs w:val="20"/>
          <w:lang w:bidi="he-IL"/>
        </w:rPr>
      </w:pPr>
    </w:p>
    <w:p w:rsidR="00A61D6B" w:rsidRDefault="00740F35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  <w:sz w:val="20"/>
          <w:szCs w:val="20"/>
          <w:lang w:bidi="he-IL"/>
        </w:rPr>
      </w:pPr>
      <w:r>
        <w:rPr>
          <w:rFonts w:ascii="Arial" w:eastAsia="CIDFont+F3" w:hAnsi="Arial" w:cs="Arial"/>
          <w:b/>
          <w:sz w:val="20"/>
          <w:szCs w:val="20"/>
          <w:lang w:bidi="he-IL"/>
        </w:rPr>
        <w:t>Missions principales</w:t>
      </w:r>
    </w:p>
    <w:p w:rsidR="00A61D6B" w:rsidRDefault="00A61D6B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  <w:sz w:val="20"/>
          <w:szCs w:val="20"/>
          <w:lang w:bidi="he-IL"/>
        </w:rPr>
      </w:pPr>
    </w:p>
    <w:p w:rsidR="00A61D6B" w:rsidRPr="00740F35" w:rsidRDefault="00A61D6B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lang w:bidi="he-IL"/>
        </w:rPr>
      </w:pPr>
      <w:r w:rsidRPr="00740F35">
        <w:rPr>
          <w:rFonts w:ascii="Arial" w:eastAsia="CIDFont+F3" w:hAnsi="Arial" w:cs="Arial"/>
          <w:lang w:bidi="he-IL"/>
        </w:rPr>
        <w:t>Validation biochimie spécialisée</w:t>
      </w:r>
      <w:r w:rsidR="00BE3FEF">
        <w:rPr>
          <w:rFonts w:ascii="Arial" w:eastAsia="CIDFont+F3" w:hAnsi="Arial" w:cs="Arial"/>
          <w:lang w:bidi="he-IL"/>
        </w:rPr>
        <w:t xml:space="preserve"> et prestations de conseils.</w:t>
      </w:r>
    </w:p>
    <w:p w:rsidR="00740F35" w:rsidRPr="00740F35" w:rsidRDefault="00740F35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lang w:bidi="he-IL"/>
        </w:rPr>
      </w:pPr>
      <w:r w:rsidRPr="00740F35">
        <w:rPr>
          <w:rFonts w:ascii="Arial" w:eastAsia="CIDFont+F3" w:hAnsi="Arial" w:cs="Arial"/>
          <w:lang w:bidi="he-IL"/>
        </w:rPr>
        <w:t>Sup</w:t>
      </w:r>
      <w:r w:rsidR="002B5D73">
        <w:rPr>
          <w:rFonts w:ascii="Arial" w:eastAsia="CIDFont+F3" w:hAnsi="Arial" w:cs="Arial"/>
          <w:lang w:bidi="he-IL"/>
        </w:rPr>
        <w:t>ervision du</w:t>
      </w:r>
      <w:r w:rsidRPr="00740F35">
        <w:rPr>
          <w:rFonts w:ascii="Arial" w:eastAsia="CIDFont+F3" w:hAnsi="Arial" w:cs="Arial"/>
          <w:lang w:bidi="he-IL"/>
        </w:rPr>
        <w:t xml:space="preserve"> secteur de biochimie : encadrement technique, </w:t>
      </w:r>
      <w:r w:rsidR="002B5D73">
        <w:rPr>
          <w:rFonts w:ascii="Arial" w:eastAsia="CIDFont+F3" w:hAnsi="Arial" w:cs="Arial"/>
          <w:lang w:bidi="he-IL"/>
        </w:rPr>
        <w:t xml:space="preserve">équipements, </w:t>
      </w:r>
      <w:r w:rsidRPr="00740F35">
        <w:rPr>
          <w:rFonts w:ascii="Arial" w:eastAsia="CIDFont+F3" w:hAnsi="Arial" w:cs="Arial"/>
          <w:lang w:bidi="he-IL"/>
        </w:rPr>
        <w:t>contrôles qualité</w:t>
      </w:r>
    </w:p>
    <w:p w:rsidR="00740F35" w:rsidRDefault="00740F35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lang w:bidi="he-IL"/>
        </w:rPr>
      </w:pPr>
      <w:r w:rsidRPr="00740F35">
        <w:rPr>
          <w:rFonts w:ascii="Arial" w:eastAsia="CIDFont+F3" w:hAnsi="Arial" w:cs="Arial"/>
          <w:lang w:bidi="he-IL"/>
        </w:rPr>
        <w:t>Participation à la validation biologique polyvalente pour astreintes opérationnelles</w:t>
      </w:r>
    </w:p>
    <w:p w:rsidR="00BE3FEF" w:rsidRDefault="00BE3FEF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lang w:bidi="he-IL"/>
        </w:rPr>
      </w:pPr>
      <w:r>
        <w:rPr>
          <w:rFonts w:ascii="Arial" w:eastAsia="CIDFont+F3" w:hAnsi="Arial" w:cs="Arial"/>
          <w:lang w:bidi="he-IL"/>
        </w:rPr>
        <w:t>Encadrement et formation des techniciens et des internes.</w:t>
      </w:r>
    </w:p>
    <w:p w:rsidR="002B5D73" w:rsidRDefault="002B5D73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lang w:bidi="he-IL"/>
        </w:rPr>
      </w:pPr>
    </w:p>
    <w:p w:rsidR="00740F35" w:rsidRPr="00740F35" w:rsidRDefault="00740F35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  <w:sz w:val="20"/>
          <w:szCs w:val="20"/>
          <w:lang w:bidi="he-IL"/>
        </w:rPr>
      </w:pPr>
      <w:r w:rsidRPr="00740F35">
        <w:rPr>
          <w:rFonts w:ascii="Arial" w:eastAsia="CIDFont+F3" w:hAnsi="Arial" w:cs="Arial"/>
          <w:b/>
          <w:sz w:val="20"/>
          <w:szCs w:val="20"/>
          <w:lang w:bidi="he-IL"/>
        </w:rPr>
        <w:t>Profil recherché</w:t>
      </w:r>
    </w:p>
    <w:p w:rsidR="00740F35" w:rsidRDefault="00740F35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20"/>
          <w:szCs w:val="20"/>
          <w:lang w:bidi="he-IL"/>
        </w:rPr>
      </w:pPr>
    </w:p>
    <w:p w:rsidR="00740F35" w:rsidRDefault="00740F35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F35">
        <w:rPr>
          <w:rFonts w:ascii="Arial" w:hAnsi="Arial" w:cs="Arial"/>
        </w:rPr>
        <w:t xml:space="preserve">Biologiste médical de formation DES de Biologie Médicale avec </w:t>
      </w:r>
      <w:r>
        <w:rPr>
          <w:rFonts w:ascii="Arial" w:hAnsi="Arial" w:cs="Arial"/>
        </w:rPr>
        <w:t xml:space="preserve">de préférence </w:t>
      </w:r>
      <w:r w:rsidRPr="00740F35">
        <w:rPr>
          <w:rFonts w:ascii="Arial" w:hAnsi="Arial" w:cs="Arial"/>
        </w:rPr>
        <w:t>une orientation biochimique</w:t>
      </w:r>
      <w:r>
        <w:rPr>
          <w:rFonts w:ascii="Arial" w:hAnsi="Arial" w:cs="Arial"/>
        </w:rPr>
        <w:t xml:space="preserve"> (toutes les demandes seront étudiées). </w:t>
      </w:r>
    </w:p>
    <w:p w:rsidR="001E6C11" w:rsidRDefault="001E6C11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6C11" w:rsidRPr="001E6C11" w:rsidRDefault="001E6C11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E6C11">
        <w:rPr>
          <w:rFonts w:ascii="Arial" w:hAnsi="Arial" w:cs="Arial"/>
          <w:b/>
        </w:rPr>
        <w:t>Modalité de recrutement</w:t>
      </w:r>
    </w:p>
    <w:p w:rsidR="001E6C11" w:rsidRDefault="001E6C11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6C11" w:rsidRDefault="001E6C11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Poste d’assistant à po</w:t>
      </w:r>
      <w:r w:rsidR="00792A39">
        <w:rPr>
          <w:rFonts w:ascii="Arial" w:hAnsi="Arial" w:cs="Arial"/>
        </w:rPr>
        <w:t>urvoir à temps plein à partir du 1er</w:t>
      </w:r>
      <w:r w:rsidR="0014620D">
        <w:rPr>
          <w:rFonts w:ascii="Arial" w:hAnsi="Arial" w:cs="Arial"/>
        </w:rPr>
        <w:t xml:space="preserve"> novembre 2023</w:t>
      </w:r>
      <w:r>
        <w:rPr>
          <w:rFonts w:ascii="Arial" w:hAnsi="Arial" w:cs="Arial"/>
        </w:rPr>
        <w:t xml:space="preserve"> </w:t>
      </w:r>
      <w:r w:rsidR="00EF17B9">
        <w:rPr>
          <w:rFonts w:ascii="Arial" w:hAnsi="Arial" w:cs="Arial"/>
        </w:rPr>
        <w:t xml:space="preserve">        </w:t>
      </w:r>
    </w:p>
    <w:p w:rsidR="001E6C11" w:rsidRDefault="001E6C11" w:rsidP="002B5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Inscription à l’Ordre des Médecins ou Pharmaciens</w:t>
      </w:r>
    </w:p>
    <w:p w:rsidR="006E3C60" w:rsidRDefault="001E6C11" w:rsidP="006E3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Candidature et courrier de motivation à adresser :</w:t>
      </w:r>
    </w:p>
    <w:p w:rsidR="001E6C11" w:rsidRPr="001E6C11" w:rsidRDefault="001E6C11" w:rsidP="006E3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François Schmitt, chef de service (</w:t>
      </w:r>
      <w:hyperlink r:id="rId4" w:history="1">
        <w:r w:rsidRPr="00094BB6">
          <w:rPr>
            <w:rStyle w:val="Lienhypertexte"/>
            <w:rFonts w:ascii="Arial" w:hAnsi="Arial" w:cs="Arial"/>
          </w:rPr>
          <w:t>f.schmitt@ghbs.bzh</w:t>
        </w:r>
      </w:hyperlink>
      <w:r w:rsidR="006E3C60">
        <w:rPr>
          <w:rFonts w:ascii="Arial" w:hAnsi="Arial" w:cs="Arial"/>
        </w:rPr>
        <w:t xml:space="preserve">); Mme Ory-Balluais,                   </w:t>
      </w:r>
      <w:r>
        <w:rPr>
          <w:rFonts w:ascii="Arial" w:hAnsi="Arial" w:cs="Arial"/>
        </w:rPr>
        <w:t>Directrice des Affaires Médicales (</w:t>
      </w:r>
      <w:hyperlink r:id="rId5" w:history="1">
        <w:r w:rsidR="006E3C60" w:rsidRPr="00043748">
          <w:rPr>
            <w:rStyle w:val="Lienhypertexte"/>
            <w:rFonts w:ascii="Arial" w:hAnsi="Arial" w:cs="Arial"/>
          </w:rPr>
          <w:t>sec.dam@ghbs.bzh</w:t>
        </w:r>
      </w:hyperlink>
      <w:r>
        <w:rPr>
          <w:rFonts w:ascii="Arial" w:hAnsi="Arial" w:cs="Arial"/>
        </w:rPr>
        <w:t xml:space="preserve">) </w:t>
      </w:r>
    </w:p>
    <w:sectPr w:rsidR="001E6C11" w:rsidRPr="001E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79"/>
    <w:rsid w:val="00060604"/>
    <w:rsid w:val="0014620D"/>
    <w:rsid w:val="001E6C11"/>
    <w:rsid w:val="002B5D73"/>
    <w:rsid w:val="00334D7E"/>
    <w:rsid w:val="004539D9"/>
    <w:rsid w:val="00583736"/>
    <w:rsid w:val="006E3C60"/>
    <w:rsid w:val="00740F35"/>
    <w:rsid w:val="00785275"/>
    <w:rsid w:val="00792A39"/>
    <w:rsid w:val="007F4EC5"/>
    <w:rsid w:val="00A16659"/>
    <w:rsid w:val="00A61D6B"/>
    <w:rsid w:val="00AD4A79"/>
    <w:rsid w:val="00BE3FEF"/>
    <w:rsid w:val="00C238B1"/>
    <w:rsid w:val="00D52971"/>
    <w:rsid w:val="00E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0810-3435-4577-B7C6-AA88C955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40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E6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.dam@ghbs.bzh" TargetMode="External"/><Relationship Id="rId4" Type="http://schemas.openxmlformats.org/officeDocument/2006/relationships/hyperlink" Target="mailto:f.schmitt@ghbs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GHBS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chbs</dc:creator>
  <cp:keywords/>
  <dc:description/>
  <cp:lastModifiedBy>TALABANI BOIZOT Hana</cp:lastModifiedBy>
  <cp:revision>2</cp:revision>
  <dcterms:created xsi:type="dcterms:W3CDTF">2023-06-05T11:35:00Z</dcterms:created>
  <dcterms:modified xsi:type="dcterms:W3CDTF">2023-06-05T11:35:00Z</dcterms:modified>
</cp:coreProperties>
</file>